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0.png" ContentType="image/png"/>
  <Override PartName="/word/media/rId63.png" ContentType="image/png"/>
  <Override PartName="/word/media/rId68.png" ContentType="image/png"/>
  <Override PartName="/word/media/rId8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2023-10-06</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The main aim of the paper is to present the CRUSE Tool and describe the methods and datasets on which the estimates of current and future potential cycling levels are based.</w:t>
      </w:r>
      <w:r>
        <w:t xml:space="preserve"> </w:t>
      </w:r>
      <w:r>
        <w:t xml:space="preserve">We will also highlight key results, discuss the implications for policy and practice, and outline how similar tools could be developed in other countries.</w:t>
      </w:r>
      <w:r>
        <w:t xml:space="preserve"> </w:t>
      </w:r>
      <w:r>
        <w:t xml:space="preserve">It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85"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7"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against the terms of service of the free API.</w:t>
      </w:r>
    </w:p>
    <w:p>
      <w:pPr>
        <w:numPr>
          <w:ilvl w:val="0"/>
          <w:numId w:val="1002"/>
        </w:numPr>
        <w:pStyle w:val="Compact"/>
      </w:pPr>
      <w:r>
        <w:t xml:space="preserve">Making changes to the routing profiles, including allowing routing on trunk roads, which are not permitted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cruse.bike/limerick/route-types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6% in cycle-friendly segments.</w:t>
      </w:r>
    </w:p>
    <w:p>
      <w:pPr>
        <w:numPr>
          <w:ilvl w:val="0"/>
          <w:numId w:val="1003"/>
        </w:numPr>
      </w:pPr>
      <w:r>
        <w:t xml:space="preserve">Under the baseline scenario, 55% of the distance cycled on the quietest network occurs in non-hostile segments and 13% in cycle-friendly segments.</w:t>
      </w:r>
    </w:p>
    <w:p>
      <w:pPr>
        <w:pStyle w:val="FirstParagraph"/>
      </w:pPr>
      <w:r>
        <w:t xml:space="preserve">These statistics can be revealing: in Limerick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Limerick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66" w:name="fig-route-types"/>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1" name="Picture"/>
                        <a:graphic>
                          <a:graphicData uri="http://schemas.openxmlformats.org/drawingml/2006/picture">
                            <pic:pic>
                              <pic:nvPicPr>
                                <pic:cNvPr descr="images/paste-5.png" id="62" name="Picture"/>
                                <pic:cNvPicPr>
                                  <a:picLocks noChangeArrowheads="1" noChangeAspect="1"/>
                                </pic:cNvPicPr>
                              </pic:nvPicPr>
                              <pic:blipFill>
                                <a:blip r:embed="rId60"/>
                                <a:stretch>
                                  <a:fillRect/>
                                </a:stretch>
                              </pic:blipFill>
                              <pic:spPr bwMode="auto">
                                <a:xfrm>
                                  <a:off x="0" y="0"/>
                                  <a:ext cx="5334000" cy="235504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4" name="Picture"/>
                        <a:graphic>
                          <a:graphicData uri="http://schemas.openxmlformats.org/drawingml/2006/picture">
                            <pic:pic>
                              <pic:nvPicPr>
                                <pic:cNvPr descr="images/paste-6.png" id="65" name="Picture"/>
                                <pic:cNvPicPr>
                                  <a:picLocks noChangeArrowheads="1" noChangeAspect="1"/>
                                </pic:cNvPicPr>
                              </pic:nvPicPr>
                              <pic:blipFill>
                                <a:blip r:embed="rId63"/>
                                <a:stretch>
                                  <a:fillRect/>
                                </a:stretch>
                              </pic:blipFill>
                              <pic:spPr bwMode="auto">
                                <a:xfrm>
                                  <a:off x="0" y="0"/>
                                  <a:ext cx="5334000" cy="2355044"/>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Fastest and Quietest route networks for central and East Limmerick.</w:t>
            </w:r>
          </w:p>
          <w:bookmarkEnd w:id="66"/>
        </w:tc>
      </w:tr>
    </w:tbl>
    <w:bookmarkEnd w:id="67"/>
    <w:bookmarkStart w:id="79"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2" w:name="fig-scenarios"/>
          <w:p>
            <w:pPr>
              <w:jc w:val="center"/>
            </w:pPr>
            <w:r>
              <w:drawing>
                <wp:inline>
                  <wp:extent cx="5334000" cy="3726656"/>
                  <wp:effectExtent b="0" l="0" r="0" t="0"/>
                  <wp:docPr descr="" title="" id="69" name="Picture"/>
                  <a:graphic>
                    <a:graphicData uri="http://schemas.openxmlformats.org/drawingml/2006/picture">
                      <pic:pic>
                        <pic:nvPicPr>
                          <pic:cNvPr descr="images/paste-7.png" id="70" name="Picture"/>
                          <pic:cNvPicPr>
                            <a:picLocks noChangeArrowheads="1" noChangeAspect="1"/>
                          </pic:cNvPicPr>
                        </pic:nvPicPr>
                        <pic:blipFill>
                          <a:blip r:embed="rId68"/>
                          <a:stretch>
                            <a:fillRect/>
                          </a:stretch>
                        </pic:blipFill>
                        <pic:spPr bwMode="auto">
                          <a:xfrm>
                            <a:off x="0" y="0"/>
                            <a:ext cx="5334000" cy="3726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Limerick used to communicate the different scenarios.</w:t>
            </w:r>
            <w:r>
              <w:t xml:space="preserve"> </w:t>
            </w:r>
            <w:r>
              <w:t xml:space="preserve">Source: county level view for Limerick in the open access CRUSE Tool at</w:t>
            </w:r>
            <w:r>
              <w:t xml:space="preserve"> </w:t>
            </w:r>
            <w:hyperlink r:id="rId71">
              <w:r>
                <w:rPr>
                  <w:rStyle w:val="Hyperlink"/>
                </w:rPr>
                <w:t xml:space="preserve">https://cruse.bike/limerick</w:t>
              </w:r>
            </w:hyperlink>
            <w:r>
              <w:t xml:space="preserve">.</w:t>
            </w:r>
          </w:p>
          <w:bookmarkEnd w:id="72"/>
        </w:tc>
      </w:tr>
    </w:tbl>
    <w:bookmarkStart w:id="73"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3"/>
    <w:bookmarkStart w:id="74"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74"/>
    <w:bookmarkStart w:id="76"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75">
        <w:r>
          <w:rPr>
            <w:rStyle w:val="Hyperlink"/>
          </w:rPr>
          <w:t xml:space="preserve">Climate Action Plan 2021</w:t>
        </w:r>
      </w:hyperlink>
      <w:r>
        <w:t xml:space="preserve">, which contains policies for action to achieve a 51% reduction in overall greenhouse gas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76"/>
    <w:bookmarkStart w:id="77"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77"/>
    <w:bookmarkStart w:id="78"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78"/>
    <w:bookmarkEnd w:id="79"/>
    <w:bookmarkStart w:id="84"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3" w:name="fig-user-stories"/>
          <w:p>
            <w:pPr>
              <w:jc w:val="center"/>
            </w:pPr>
            <w:r>
              <w:drawing>
                <wp:inline>
                  <wp:extent cx="5334000" cy="3878035"/>
                  <wp:effectExtent b="0" l="0" r="0" t="0"/>
                  <wp:docPr descr="" title="" id="81" name="Picture"/>
                  <a:graphic>
                    <a:graphicData uri="http://schemas.openxmlformats.org/drawingml/2006/picture">
                      <pic:pic>
                        <pic:nvPicPr>
                          <pic:cNvPr descr="paper_files/figure-docx/mermaid-figure-1.png" id="82" name="Picture"/>
                          <pic:cNvPicPr>
                            <a:picLocks noChangeArrowheads="1" noChangeAspect="1"/>
                          </pic:cNvPicPr>
                        </pic:nvPicPr>
                        <pic:blipFill>
                          <a:blip r:embed="rId80"/>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3"/>
        </w:tc>
      </w:tr>
    </w:tbl>
    <w:bookmarkEnd w:id="84"/>
    <w:bookmarkEnd w:id="85"/>
    <w:bookmarkStart w:id="91"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89" w:name="fig-city-results"/>
          <w:p>
            <w:pPr>
              <w:jc w:val="center"/>
            </w:pPr>
            <w:r>
              <w:drawing>
                <wp:inline>
                  <wp:extent cx="5334000" cy="4445000"/>
                  <wp:effectExtent b="0" l="0" r="0" t="0"/>
                  <wp:docPr descr="" title="" id="87" name="Picture"/>
                  <a:graphic>
                    <a:graphicData uri="http://schemas.openxmlformats.org/drawingml/2006/picture">
                      <pic:pic>
                        <pic:nvPicPr>
                          <pic:cNvPr descr="images/rnet_types.png" id="88" name="Picture"/>
                          <pic:cNvPicPr>
                            <a:picLocks noChangeArrowheads="1" noChangeAspect="1"/>
                          </pic:cNvPicPr>
                        </pic:nvPicPr>
                        <pic:blipFill>
                          <a:blip r:embed="rId8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89"/>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0"/>
      </w:r>
      <w:r>
        <w:t xml:space="preserve"> </w:t>
      </w:r>
      <w:r>
        <w:t xml:space="preserve">The results for the Dublin area could help prioritise investment in cycling infrastructure in the city.</w:t>
      </w:r>
    </w:p>
    <w:bookmarkEnd w:id="91"/>
    <w:bookmarkStart w:id="92"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unique features that make it relevant for other countries, and other national road authorities tasked with making their transport systems safe.</w:t>
      </w:r>
    </w:p>
    <w:p>
      <w:pPr>
        <w:pStyle w:val="BodyText"/>
      </w:pPr>
      <w:r>
        <w:t xml:space="preserve">TODO: outline these features.</w:t>
      </w:r>
    </w:p>
    <w:p>
      <w:pPr>
        <w:pStyle w:val="BodyText"/>
      </w:pPr>
      <w:r>
        <w:t xml:space="preserve">The CRUSE Tool is designed to be used by a wide range of stakeholders, including transport planners, engineers, and other professionals, as well as non-professionals.</w:t>
      </w:r>
    </w:p>
    <w:bookmarkEnd w:id="92"/>
    <w:bookmarkStart w:id="94"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3">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94"/>
    <w:bookmarkStart w:id="95"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95"/>
    <w:bookmarkStart w:id="142" w:name="declarations"/>
    <w:p>
      <w:pPr>
        <w:pStyle w:val="Heading1"/>
      </w:pPr>
      <w:r>
        <w:t xml:space="preserve">7. Declarations</w:t>
      </w:r>
    </w:p>
    <w:bookmarkStart w:id="96"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96"/>
    <w:bookmarkStart w:id="97" w:name="funding"/>
    <w:p>
      <w:pPr>
        <w:pStyle w:val="Heading2"/>
      </w:pPr>
      <w:r>
        <w:t xml:space="preserve">Funding</w:t>
      </w:r>
    </w:p>
    <w:p>
      <w:pPr>
        <w:pStyle w:val="FirstParagraph"/>
      </w:pPr>
      <w:r>
        <w:t xml:space="preserve">The work was funded by Transport Infrastructure Ireland (TII).</w:t>
      </w:r>
    </w:p>
    <w:bookmarkEnd w:id="97"/>
    <w:bookmarkStart w:id="98"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98"/>
    <w:bookmarkStart w:id="99" w:name="competing-interests"/>
    <w:p>
      <w:pPr>
        <w:pStyle w:val="Heading2"/>
      </w:pPr>
      <w:r>
        <w:t xml:space="preserve">Competing interests</w:t>
      </w:r>
    </w:p>
    <w:p>
      <w:pPr>
        <w:pStyle w:val="FirstParagraph"/>
      </w:pPr>
      <w:r>
        <w:t xml:space="preserve">The authors declare that they have no competing interests.</w:t>
      </w:r>
    </w:p>
    <w:bookmarkEnd w:id="99"/>
    <w:bookmarkStart w:id="141"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40" w:name="refs"/>
    <w:bookmarkStart w:id="101"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0">
        <w:r>
          <w:rPr>
            <w:rStyle w:val="Hyperlink"/>
          </w:rPr>
          <w:t xml:space="preserve">https://www.creds.ac.uk/publications/shifting-the-focus-4-transport-mobility/</w:t>
        </w:r>
      </w:hyperlink>
    </w:p>
    <w:bookmarkEnd w:id="101"/>
    <w:bookmarkStart w:id="102"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2"/>
    <w:bookmarkStart w:id="104"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3">
        <w:r>
          <w:rPr>
            <w:rStyle w:val="Hyperlink"/>
          </w:rPr>
          <w:t xml:space="preserve">http://dx.doi.org/10.1038/497181a 10.1038/497181a</w:t>
        </w:r>
      </w:hyperlink>
    </w:p>
    <w:bookmarkEnd w:id="104"/>
    <w:bookmarkStart w:id="106"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05">
        <w:r>
          <w:rPr>
            <w:rStyle w:val="Hyperlink"/>
          </w:rPr>
          <w:t xml:space="preserve">https://doi.org/10.1016/j.trd.2012.04.001</w:t>
        </w:r>
      </w:hyperlink>
    </w:p>
    <w:bookmarkEnd w:id="106"/>
    <w:bookmarkStart w:id="108"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07">
        <w:r>
          <w:rPr>
            <w:rStyle w:val="Hyperlink"/>
          </w:rPr>
          <w:t xml:space="preserve">https://doi.org/10.1080/15568318.2018.1432730</w:t>
        </w:r>
      </w:hyperlink>
    </w:p>
    <w:bookmarkEnd w:id="108"/>
    <w:bookmarkStart w:id="110" w:name="ref-cycling2017"/>
    <w:p>
      <w:pPr>
        <w:pStyle w:val="Bibliography"/>
      </w:pPr>
      <w:r>
        <w:rPr>
          <w:iCs/>
          <w:i/>
        </w:rPr>
        <w:t xml:space="preserve">Cycling and walking investment strategy</w:t>
      </w:r>
      <w:r>
        <w:t xml:space="preserve">. (2017).</w:t>
      </w:r>
      <w:r>
        <w:t xml:space="preserve"> </w:t>
      </w:r>
      <w:hyperlink r:id="rId109">
        <w:r>
          <w:rPr>
            <w:rStyle w:val="Hyperlink"/>
          </w:rPr>
          <w:t xml:space="preserve">https://www.gov.uk/government/publications/cycling-and-walking-investment-strategy</w:t>
        </w:r>
      </w:hyperlink>
    </w:p>
    <w:bookmarkEnd w:id="110"/>
    <w:bookmarkStart w:id="111"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1"/>
    <w:bookmarkStart w:id="113"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12">
        <w:r>
          <w:rPr>
            <w:rStyle w:val="Hyperlink"/>
          </w:rPr>
          <w:t xml:space="preserve">https://doi.org/10.1016/j.jth.2019.01.008</w:t>
        </w:r>
      </w:hyperlink>
    </w:p>
    <w:bookmarkEnd w:id="113"/>
    <w:bookmarkStart w:id="115"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14">
        <w:r>
          <w:rPr>
            <w:rStyle w:val="Hyperlink"/>
          </w:rPr>
          <w:t xml:space="preserve">https://doi.org/10.1016/S0743-0167(00)00035-8</w:t>
        </w:r>
      </w:hyperlink>
    </w:p>
    <w:bookmarkEnd w:id="115"/>
    <w:bookmarkStart w:id="117"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16">
        <w:r>
          <w:rPr>
            <w:rStyle w:val="Hyperlink"/>
          </w:rPr>
          <w:t xml:space="preserve">https://lenkahas.com/files/preprint.pdf</w:t>
        </w:r>
      </w:hyperlink>
    </w:p>
    <w:bookmarkEnd w:id="117"/>
    <w:bookmarkStart w:id="119"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18">
        <w:r>
          <w:rPr>
            <w:rStyle w:val="Hyperlink"/>
          </w:rPr>
          <w:t xml:space="preserve">https://www.ipcc.ch/report/ar6/wg3/downloads/report/IPCC_AR6_WGIII_Chapter10.pdf</w:t>
        </w:r>
      </w:hyperlink>
    </w:p>
    <w:bookmarkEnd w:id="119"/>
    <w:bookmarkStart w:id="121"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20">
        <w:r>
          <w:rPr>
            <w:rStyle w:val="Hyperlink"/>
          </w:rPr>
          <w:t xml:space="preserve">http://eprints.whiterose.ac.uk/100080/</w:t>
        </w:r>
      </w:hyperlink>
    </w:p>
    <w:bookmarkEnd w:id="121"/>
    <w:bookmarkStart w:id="123"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22">
        <w:r>
          <w:rPr>
            <w:rStyle w:val="Hyperlink"/>
          </w:rPr>
          <w:t xml:space="preserve">https://doi.org/10.32866/001c.33873</w:t>
        </w:r>
      </w:hyperlink>
    </w:p>
    <w:bookmarkEnd w:id="123"/>
    <w:bookmarkStart w:id="125"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24">
        <w:r>
          <w:rPr>
            <w:rStyle w:val="Hyperlink"/>
          </w:rPr>
          <w:t xml:space="preserve">https://doi.org/10.5198/jtlu.2016.862</w:t>
        </w:r>
      </w:hyperlink>
    </w:p>
    <w:bookmarkEnd w:id="125"/>
    <w:bookmarkStart w:id="127"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26">
        <w:r>
          <w:rPr>
            <w:rStyle w:val="Hyperlink"/>
          </w:rPr>
          <w:t xml:space="preserve">https://doi.org/10.1016/j.tranpol.2020.06.015</w:t>
        </w:r>
      </w:hyperlink>
    </w:p>
    <w:bookmarkEnd w:id="127"/>
    <w:bookmarkStart w:id="129"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28">
        <w:r>
          <w:rPr>
            <w:rStyle w:val="Hyperlink"/>
          </w:rPr>
          <w:t xml:space="preserve">https://doi.org/10.1177/0042098009349773</w:t>
        </w:r>
      </w:hyperlink>
    </w:p>
    <w:bookmarkEnd w:id="129"/>
    <w:bookmarkStart w:id="131"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30">
        <w:r>
          <w:rPr>
            <w:rStyle w:val="Hyperlink"/>
          </w:rPr>
          <w:t xml:space="preserve">https://doi.org/10.1016/j.jtrangeo.2020.102704</w:t>
        </w:r>
      </w:hyperlink>
    </w:p>
    <w:bookmarkEnd w:id="131"/>
    <w:bookmarkStart w:id="133"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32">
        <w:r>
          <w:rPr>
            <w:rStyle w:val="Hyperlink"/>
          </w:rPr>
          <w:t xml:space="preserve">https://www.icevirtuallibrary.com/isbn/9780727763495</w:t>
        </w:r>
      </w:hyperlink>
    </w:p>
    <w:bookmarkEnd w:id="133"/>
    <w:bookmarkStart w:id="134"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34"/>
    <w:bookmarkStart w:id="135"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35"/>
    <w:bookmarkStart w:id="137"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36">
        <w:r>
          <w:rPr>
            <w:rStyle w:val="Hyperlink"/>
          </w:rPr>
          <w:t xml:space="preserve">https://doi.org/10.1371/journal.pmed.1002622</w:t>
        </w:r>
      </w:hyperlink>
    </w:p>
    <w:bookmarkEnd w:id="137"/>
    <w:bookmarkStart w:id="139"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38">
        <w:r>
          <w:rPr>
            <w:rStyle w:val="Hyperlink"/>
          </w:rPr>
          <w:t xml:space="preserve">https://doi.org/10.1016/j.jth.2021.101066</w:t>
        </w:r>
      </w:hyperlink>
    </w:p>
    <w:bookmarkEnd w:id="139"/>
    <w:bookmarkEnd w:id="140"/>
    <w:bookmarkEnd w:id="141"/>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0">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hyperlink" Id="rId103" Target="http://dx.doi.org/10.1038/497181a 10.1038/497181a" TargetMode="External" /><Relationship Type="http://schemas.openxmlformats.org/officeDocument/2006/relationships/hyperlink" Id="rId12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4" Target="https://doi.org/10.1016/S0743-0167(00)00035-8" TargetMode="External" /><Relationship Type="http://schemas.openxmlformats.org/officeDocument/2006/relationships/hyperlink" Id="rId112" Target="https://doi.org/10.1016/j.jth.2019.01.008" TargetMode="External" /><Relationship Type="http://schemas.openxmlformats.org/officeDocument/2006/relationships/hyperlink" Id="rId138" Target="https://doi.org/10.1016/j.jth.2021.101066" TargetMode="External" /><Relationship Type="http://schemas.openxmlformats.org/officeDocument/2006/relationships/hyperlink" Id="rId130" Target="https://doi.org/10.1016/j.jtrangeo.2020.102704" TargetMode="External" /><Relationship Type="http://schemas.openxmlformats.org/officeDocument/2006/relationships/hyperlink" Id="rId126"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07" Target="https://doi.org/10.1080/15568318.2018.1432730" TargetMode="External" /><Relationship Type="http://schemas.openxmlformats.org/officeDocument/2006/relationships/hyperlink" Id="rId128" Target="https://doi.org/10.1177/0042098009349773" TargetMode="External" /><Relationship Type="http://schemas.openxmlformats.org/officeDocument/2006/relationships/hyperlink" Id="rId136" Target="https://doi.org/10.1371/journal.pmed.1002622" TargetMode="External" /><Relationship Type="http://schemas.openxmlformats.org/officeDocument/2006/relationships/hyperlink" Id="rId122" Target="https://doi.org/10.32866/001c.33873" TargetMode="External" /><Relationship Type="http://schemas.openxmlformats.org/officeDocument/2006/relationships/hyperlink" Id="rId124" Target="https://doi.org/10.5198/jtlu.2016.862" TargetMode="External" /><Relationship Type="http://schemas.openxmlformats.org/officeDocument/2006/relationships/hyperlink" Id="rId116"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2" Target="https://www.icevirtuallibrary.com/isbn/9780727763495" TargetMode="External" /><Relationship Type="http://schemas.openxmlformats.org/officeDocument/2006/relationships/hyperlink" Id="rId11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3" Target="http://dx.doi.org/10.1038/497181a 10.1038/497181a" TargetMode="External" /><Relationship Type="http://schemas.openxmlformats.org/officeDocument/2006/relationships/hyperlink" Id="rId12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4" Target="https://doi.org/10.1016/S0743-0167(00)00035-8" TargetMode="External" /><Relationship Type="http://schemas.openxmlformats.org/officeDocument/2006/relationships/hyperlink" Id="rId112" Target="https://doi.org/10.1016/j.jth.2019.01.008" TargetMode="External" /><Relationship Type="http://schemas.openxmlformats.org/officeDocument/2006/relationships/hyperlink" Id="rId138" Target="https://doi.org/10.1016/j.jth.2021.101066" TargetMode="External" /><Relationship Type="http://schemas.openxmlformats.org/officeDocument/2006/relationships/hyperlink" Id="rId130" Target="https://doi.org/10.1016/j.jtrangeo.2020.102704" TargetMode="External" /><Relationship Type="http://schemas.openxmlformats.org/officeDocument/2006/relationships/hyperlink" Id="rId126"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07" Target="https://doi.org/10.1080/15568318.2018.1432730" TargetMode="External" /><Relationship Type="http://schemas.openxmlformats.org/officeDocument/2006/relationships/hyperlink" Id="rId128" Target="https://doi.org/10.1177/0042098009349773" TargetMode="External" /><Relationship Type="http://schemas.openxmlformats.org/officeDocument/2006/relationships/hyperlink" Id="rId136" Target="https://doi.org/10.1371/journal.pmed.1002622" TargetMode="External" /><Relationship Type="http://schemas.openxmlformats.org/officeDocument/2006/relationships/hyperlink" Id="rId122" Target="https://doi.org/10.32866/001c.33873" TargetMode="External" /><Relationship Type="http://schemas.openxmlformats.org/officeDocument/2006/relationships/hyperlink" Id="rId124" Target="https://doi.org/10.5198/jtlu.2016.862" TargetMode="External" /><Relationship Type="http://schemas.openxmlformats.org/officeDocument/2006/relationships/hyperlink" Id="rId116"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2" Target="https://www.icevirtuallibrary.com/isbn/9780727763495" TargetMode="External" /><Relationship Type="http://schemas.openxmlformats.org/officeDocument/2006/relationships/hyperlink" Id="rId11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2023-10-06T02:51:57Z</dcterms:created>
  <dcterms:modified xsi:type="dcterms:W3CDTF">2023-10-06T02:51:57Z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2023-10-06</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